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光谱治疗机采购项目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F46625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光谱治疗机</w:t>
            </w: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7550" w:type="dxa"/>
          </w:tcPr>
          <w:p w14:paraId="68FC4DB4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光源类型：LED长寿命窄波光源；光源预期使用寿命≥50000小时。</w:t>
            </w:r>
          </w:p>
          <w:p w14:paraId="5188F49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7ECA651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光源类型：点阵光源；采用非球面透镜或同等光学匀光技术，保证辐照面波长、光强分布均匀。</w:t>
            </w:r>
          </w:p>
          <w:p w14:paraId="4018CDE1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39E750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辐照面积：长度≥450mm，宽度≥280mm（或总面积≥1200cm²）。</w:t>
            </w:r>
          </w:p>
          <w:p w14:paraId="0E653FD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3F68A5F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峰值波长：633±10nm；417±20nm；590±10nm。</w:t>
            </w:r>
          </w:p>
          <w:p w14:paraId="080566F4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7BBCFDCC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最大有效辐照度：红光≥1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0mW/cm²；蓝光≥1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0mW/cm²；黄光</w:t>
            </w:r>
            <w:r>
              <w:rPr>
                <w:rFonts w:hint="default" w:ascii="Arial" w:hAnsi="Arial" w:eastAsia="宋体" w:cs="Arial"/>
                <w:sz w:val="24"/>
                <w:szCs w:val="24"/>
                <w:highlight w:val="none"/>
                <w:lang w:val="en-US" w:eastAsia="zh-CN"/>
              </w:rPr>
              <w:t>≤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30mW/cm²。</w:t>
            </w:r>
          </w:p>
          <w:p w14:paraId="4244C8A1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8177D3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光源模组结构：采用多翼或多段式可调节结构，支持角度调节以适应不同治疗部位；具备有效散热措施，保障光源稳定输出。</w:t>
            </w:r>
          </w:p>
          <w:p w14:paraId="5E6E0AE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FC19945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照射方式：连续、调制任意可选；调制宽度：0.1s～2s可调，调制间隔：0.1s～2s可调，步长≤0.5s。</w:t>
            </w:r>
          </w:p>
          <w:p w14:paraId="603B270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0752EA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辐照时间：控制范围1～90min连续可调，预设档位包含1min、5min、10min，或支持自定义设置。</w:t>
            </w:r>
          </w:p>
          <w:p w14:paraId="57C71DDF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7FD2C21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温度监控及超温保护：仪器在正常工作时，具有对辐照面温度监测的功能，温度监测范围：36℃～42℃；仪器具有超温保护功能，当有效辐照面的温度超过41℃±1℃时，仪器能停止辐射输出且不可自动恢复；光辐射输出窗口的最高温度不超过60℃，且系统有超温预警功能。</w:t>
            </w:r>
          </w:p>
          <w:p w14:paraId="7BE2361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6AC93159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伸缩臂装置：三关节旋转臂可180°水平旋转；升降高度调节范围：≥300mm。</w:t>
            </w:r>
          </w:p>
          <w:p w14:paraId="7398300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00203EF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光源模组噪音：在正常工作状态下，距离设备1米处噪声≤60dB(A</w:t>
            </w:r>
            <w:bookmarkStart w:id="0" w:name="_GoBack"/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）</w:t>
            </w:r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41E5E84F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BC1D1ED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功率密度稳定性：具备光输出反馈调节或自动校准功能，保证治疗过程中辐照度稳定。</w:t>
            </w:r>
          </w:p>
          <w:p w14:paraId="5D67681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D1E70CF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冷却系统：风冷或其他等效主动散热方式，确保光源长时间工作温度稳定。</w:t>
            </w:r>
          </w:p>
          <w:p w14:paraId="7C6DCE4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524834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控制系统：</w:t>
            </w:r>
          </w:p>
          <w:p w14:paraId="214D573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1）配备彩色液晶触摸屏，分辨率满足清晰显示需求；可根据用户习惯存储常用治疗参数；</w:t>
            </w:r>
          </w:p>
          <w:p w14:paraId="1A6B637C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2）光源辐照度大小可在10%～100%调节，步进1%、5%、10%可选；</w:t>
            </w:r>
          </w:p>
          <w:p w14:paraId="50EF471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3）点阵光源模块可同时照射也可单页照射，适应不同辐照面积的选择；</w:t>
            </w:r>
          </w:p>
          <w:p w14:paraId="171177E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4）点阵光源可控制单波或双波同时照射，在触摸屏上可自由选择，无需更换光源模组；</w:t>
            </w:r>
          </w:p>
          <w:p w14:paraId="594AD33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5）具有驱动异常检测、光源异常检测功能；</w:t>
            </w:r>
          </w:p>
          <w:p w14:paraId="40C4F1EA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6）系统具有每个波长单独出光时间累计功能，可根据此功能进行光源模组更换判定。</w:t>
            </w:r>
          </w:p>
          <w:p w14:paraId="073CCBA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4512179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保护装置：配有安规漏电隔离变压器装置，超温自动断电保护装置。</w:t>
            </w:r>
          </w:p>
          <w:p w14:paraId="65E9ECC1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330F94B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整机设计使用寿命≥10年（不含耗材及易损件）。</w:t>
            </w:r>
          </w:p>
          <w:p w14:paraId="2AAFD79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6BAB8C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344689D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配置要求：</w:t>
            </w:r>
          </w:p>
          <w:p w14:paraId="0DB29DF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主机 1台</w:t>
            </w:r>
          </w:p>
          <w:p w14:paraId="1AE4BC4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38A0FD2F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点阵光源模组 1组</w:t>
            </w:r>
          </w:p>
          <w:p w14:paraId="4BAF52B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0FB3323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悬臂定位环 1个</w:t>
            </w:r>
          </w:p>
          <w:p w14:paraId="46A36FDA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F4427A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万向悬臂 3节</w:t>
            </w: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642B645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营业执照副本复印件，医疗器械生产/经营许可证复印件。</w:t>
      </w:r>
    </w:p>
    <w:p w14:paraId="3C7F8B4A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5032BFB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18EE87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1F9139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10C1A31F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16274289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32FF4"/>
    <w:rsid w:val="072B5B08"/>
    <w:rsid w:val="09EC23D5"/>
    <w:rsid w:val="0B6C32B8"/>
    <w:rsid w:val="100B7ABF"/>
    <w:rsid w:val="14C93F03"/>
    <w:rsid w:val="16DA4400"/>
    <w:rsid w:val="1A3063B0"/>
    <w:rsid w:val="1C3379E1"/>
    <w:rsid w:val="1DF04D26"/>
    <w:rsid w:val="1F377B4D"/>
    <w:rsid w:val="24153B6C"/>
    <w:rsid w:val="278E3170"/>
    <w:rsid w:val="28863F6A"/>
    <w:rsid w:val="28C956FE"/>
    <w:rsid w:val="2CFE576C"/>
    <w:rsid w:val="322A67FD"/>
    <w:rsid w:val="32F12805"/>
    <w:rsid w:val="351528CD"/>
    <w:rsid w:val="35E87898"/>
    <w:rsid w:val="36067164"/>
    <w:rsid w:val="38046A99"/>
    <w:rsid w:val="381256F7"/>
    <w:rsid w:val="392A4DBC"/>
    <w:rsid w:val="3BD646EF"/>
    <w:rsid w:val="3BF515B8"/>
    <w:rsid w:val="417D0085"/>
    <w:rsid w:val="494F491F"/>
    <w:rsid w:val="495B5C3F"/>
    <w:rsid w:val="4E606D65"/>
    <w:rsid w:val="4FAE65B9"/>
    <w:rsid w:val="55CB32A6"/>
    <w:rsid w:val="59A541C5"/>
    <w:rsid w:val="5A7A11AE"/>
    <w:rsid w:val="6108725B"/>
    <w:rsid w:val="61AA6FD0"/>
    <w:rsid w:val="62886711"/>
    <w:rsid w:val="637E4BB3"/>
    <w:rsid w:val="648462E6"/>
    <w:rsid w:val="67447919"/>
    <w:rsid w:val="698B54A1"/>
    <w:rsid w:val="6C44786E"/>
    <w:rsid w:val="6CD644A8"/>
    <w:rsid w:val="6F5E1EF9"/>
    <w:rsid w:val="70013F9D"/>
    <w:rsid w:val="70F51137"/>
    <w:rsid w:val="715B3981"/>
    <w:rsid w:val="7551016A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f53bf67e-25e6-48d6-8c53-ce8940b02275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  203EF2</paraID>
      <start>4</start>
      <end>6</end>
      <status>unmodified</status>
      <modifiedWord/>
      <trackRevisions>false</trackRevisions>
    </reviewItem>
    <reviewItem>
      <errorID>9256ca0e-8b81-4627-9602-57f2cdfdd3a0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203EF2</paraID>
      <start>32</start>
      <end>33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f09612-84c2-40cc-a7ff-ba3cd5676e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1338</Words>
  <Characters>1514</Characters>
  <Lines>0</Lines>
  <Paragraphs>0</Paragraphs>
  <TotalTime>4</TotalTime>
  <ScaleCrop>false</ScaleCrop>
  <LinksUpToDate>false</LinksUpToDate>
  <CharactersWithSpaces>1598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2026-07-22T07:17:23Z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